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B5" w:rsidRPr="005E7BEF" w:rsidRDefault="00F90DB5" w:rsidP="00F90DB5">
      <w:pPr>
        <w:pStyle w:val="1"/>
        <w:widowControl w:val="0"/>
        <w:tabs>
          <w:tab w:val="num" w:pos="432"/>
          <w:tab w:val="left" w:pos="709"/>
          <w:tab w:val="left" w:pos="1418"/>
        </w:tabs>
        <w:suppressAutoHyphens/>
        <w:overflowPunct w:val="0"/>
        <w:autoSpaceDE w:val="0"/>
        <w:spacing w:before="0" w:after="0"/>
        <w:ind w:left="709" w:hanging="425"/>
        <w:jc w:val="center"/>
        <w:textAlignment w:val="baseline"/>
        <w:rPr>
          <w:rFonts w:ascii="Times New Roman" w:hAnsi="Times New Roman"/>
        </w:rPr>
      </w:pPr>
      <w:bookmarkStart w:id="0" w:name="_Toc125091402"/>
      <w:r w:rsidRPr="005E7BEF">
        <w:rPr>
          <w:rFonts w:ascii="Times New Roman" w:hAnsi="Times New Roman"/>
        </w:rPr>
        <w:t>Правила творческой категории</w:t>
      </w:r>
      <w:bookmarkEnd w:id="0"/>
    </w:p>
    <w:p w:rsidR="00F90DB5" w:rsidRDefault="00F90DB5" w:rsidP="00F90DB5">
      <w:pPr>
        <w:tabs>
          <w:tab w:val="left" w:pos="1418"/>
        </w:tabs>
        <w:ind w:left="709" w:hanging="425"/>
        <w:jc w:val="both"/>
      </w:pP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t xml:space="preserve">К участию в творческой категории допускаются команды, реализовавшие проекты, собранные на основе </w:t>
      </w:r>
      <w:r>
        <w:rPr>
          <w:b/>
          <w:i/>
        </w:rPr>
        <w:t>ЛЕГО</w:t>
      </w:r>
      <w:r>
        <w:t xml:space="preserve"> – микрокомпьютера </w:t>
      </w:r>
      <w:r>
        <w:rPr>
          <w:b/>
          <w:i/>
        </w:rPr>
        <w:t xml:space="preserve">RCX </w:t>
      </w:r>
      <w:r>
        <w:t>или</w:t>
      </w:r>
      <w:r>
        <w:rPr>
          <w:b/>
          <w:i/>
        </w:rPr>
        <w:t xml:space="preserve"> NXT</w:t>
      </w:r>
      <w:r>
        <w:t xml:space="preserve">, но в отличие от основной категории в их конструкции могут использоваться не только детали </w:t>
      </w:r>
      <w:r>
        <w:rPr>
          <w:b/>
          <w:i/>
        </w:rPr>
        <w:t>ЛЕГО,</w:t>
      </w:r>
      <w:r>
        <w:t xml:space="preserve">  но и другие материалы.</w:t>
      </w: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t xml:space="preserve">Каждая команда может представить описание своего творческого проекта, содержащее: </w:t>
      </w:r>
    </w:p>
    <w:p w:rsidR="00F90DB5" w:rsidRDefault="00F90DB5" w:rsidP="00F90DB5">
      <w:pPr>
        <w:widowControl w:val="0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suppressAutoHyphens/>
        <w:spacing w:before="120"/>
        <w:ind w:left="1134" w:hanging="414"/>
        <w:jc w:val="both"/>
      </w:pPr>
      <w:r>
        <w:t xml:space="preserve">Бумажный плакат размером минимум 60х80 см., содержащий: название проекта, тему проекта, описание проекта, технические характеристики проекта, фотографии проекта и этапов реализации проекта. </w:t>
      </w:r>
    </w:p>
    <w:p w:rsidR="00F90DB5" w:rsidRDefault="00F90DB5" w:rsidP="00F90DB5">
      <w:pPr>
        <w:widowControl w:val="0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suppressAutoHyphens/>
        <w:spacing w:before="120"/>
        <w:ind w:left="1134" w:hanging="414"/>
        <w:jc w:val="both"/>
      </w:pPr>
      <w:r>
        <w:t>Электронный вариант плаката.</w:t>
      </w:r>
    </w:p>
    <w:p w:rsidR="00F90DB5" w:rsidRDefault="00F90DB5" w:rsidP="00F90DB5">
      <w:pPr>
        <w:widowControl w:val="0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suppressAutoHyphens/>
        <w:spacing w:before="120"/>
        <w:ind w:left="1134" w:hanging="414"/>
        <w:jc w:val="both"/>
      </w:pPr>
      <w:r>
        <w:t>Видеозапись проекта: видеоролик длительностью максимум 2 минуты и размером файла не более 10 MB.</w:t>
      </w: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t>Выявление победителя творческой категории будет производиться судейской коллегией.</w:t>
      </w: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t xml:space="preserve">Максимальное число очков для оценки проекта равно 80. Общий счет делится на следующие категории: </w:t>
      </w:r>
    </w:p>
    <w:p w:rsidR="00F90DB5" w:rsidRDefault="00F90DB5" w:rsidP="00F90DB5">
      <w:pPr>
        <w:tabs>
          <w:tab w:val="left" w:pos="567"/>
        </w:tabs>
        <w:spacing w:before="120"/>
        <w:ind w:left="567" w:hanging="283"/>
        <w:jc w:val="both"/>
      </w:pP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rPr>
          <w:b/>
          <w:bCs/>
        </w:rPr>
        <w:t xml:space="preserve">Оригинальность и/или творческий подход (максимум 30 очков). </w:t>
      </w:r>
      <w:r>
        <w:t xml:space="preserve">Проекты, в которых явно проявляются творческие способности и оригинальность  участников соревнования, получат больше очков, чем проекты, показывающие обычную сценку. </w:t>
      </w: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rPr>
          <w:b/>
          <w:bCs/>
        </w:rPr>
        <w:t xml:space="preserve">Техническая сложность (максимум 30 очков). </w:t>
      </w:r>
      <w:r>
        <w:t xml:space="preserve">Проекты, более сложные в </w:t>
      </w:r>
      <w:proofErr w:type="gramStart"/>
      <w:r>
        <w:t>техническом исполнении</w:t>
      </w:r>
      <w:proofErr w:type="gramEnd"/>
      <w:r>
        <w:t xml:space="preserve">, получат больше очков, чем проект, который просто использует большое количество конструкционных материалов. </w:t>
      </w:r>
    </w:p>
    <w:p w:rsidR="00F90DB5" w:rsidRDefault="00F90DB5" w:rsidP="00F90DB5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/>
        <w:ind w:left="567" w:hanging="283"/>
        <w:jc w:val="both"/>
      </w:pPr>
      <w:r>
        <w:rPr>
          <w:b/>
          <w:bCs/>
        </w:rPr>
        <w:t>Наличие и качество описания (максимум 20 очков).</w:t>
      </w:r>
      <w:r>
        <w:t xml:space="preserve"> Проекты, сопровождающиеся качественным и подробным описанием, получат больше очков, чем проекты, к которым описание отсутствует или недостаточно хорошо сделано. </w:t>
      </w:r>
    </w:p>
    <w:p w:rsidR="00F90DB5" w:rsidRDefault="00F90DB5" w:rsidP="00F90DB5">
      <w:pPr>
        <w:widowControl w:val="0"/>
        <w:numPr>
          <w:ilvl w:val="1"/>
          <w:numId w:val="1"/>
        </w:numPr>
        <w:tabs>
          <w:tab w:val="left" w:pos="567"/>
          <w:tab w:val="left" w:pos="1560"/>
        </w:tabs>
        <w:suppressAutoHyphens/>
        <w:spacing w:before="120"/>
        <w:jc w:val="both"/>
      </w:pPr>
      <w:r>
        <w:t>Видеоролик – максимум 10 баллов</w:t>
      </w:r>
    </w:p>
    <w:p w:rsidR="00F90DB5" w:rsidRDefault="00F90DB5" w:rsidP="00F90DB5">
      <w:pPr>
        <w:widowControl w:val="0"/>
        <w:numPr>
          <w:ilvl w:val="1"/>
          <w:numId w:val="1"/>
        </w:numPr>
        <w:tabs>
          <w:tab w:val="left" w:pos="567"/>
          <w:tab w:val="left" w:pos="1560"/>
        </w:tabs>
        <w:suppressAutoHyphens/>
        <w:spacing w:before="120"/>
        <w:jc w:val="both"/>
      </w:pPr>
      <w:r>
        <w:t>Плакат – максимум 5 баллов</w:t>
      </w:r>
    </w:p>
    <w:p w:rsidR="00F90DB5" w:rsidRDefault="00F90DB5" w:rsidP="00F90DB5">
      <w:pPr>
        <w:widowControl w:val="0"/>
        <w:numPr>
          <w:ilvl w:val="1"/>
          <w:numId w:val="1"/>
        </w:numPr>
        <w:tabs>
          <w:tab w:val="left" w:pos="567"/>
          <w:tab w:val="left" w:pos="1560"/>
        </w:tabs>
        <w:suppressAutoHyphens/>
        <w:spacing w:before="120"/>
        <w:jc w:val="both"/>
      </w:pPr>
      <w:r>
        <w:t>Электронная версия плаката – максимум 5 баллов</w:t>
      </w:r>
    </w:p>
    <w:p w:rsidR="00F90DB5" w:rsidRPr="00AA57BF" w:rsidRDefault="00F90DB5" w:rsidP="00F90DB5">
      <w:pPr>
        <w:tabs>
          <w:tab w:val="left" w:pos="1860"/>
        </w:tabs>
      </w:pPr>
    </w:p>
    <w:p w:rsidR="0065067A" w:rsidRDefault="0065067A"/>
    <w:sectPr w:rsidR="0065067A" w:rsidSect="005E72AB">
      <w:headerReference w:type="default" r:id="rId5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40" w:rsidRDefault="00F90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2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1">
    <w:nsid w:val="66286454"/>
    <w:multiLevelType w:val="multilevel"/>
    <w:tmpl w:val="46D2605E"/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B5"/>
    <w:rsid w:val="0065067A"/>
    <w:rsid w:val="00F9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D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D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F90DB5"/>
    <w:pPr>
      <w:tabs>
        <w:tab w:val="center" w:pos="4677"/>
        <w:tab w:val="right" w:pos="9355"/>
      </w:tabs>
      <w:spacing w:beforeAutospacing="1" w:afterAutospacing="1"/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90DB5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DG Win&amp;Soft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2013-05-28T07:18:00Z</dcterms:created>
  <dcterms:modified xsi:type="dcterms:W3CDTF">2013-05-28T07:18:00Z</dcterms:modified>
</cp:coreProperties>
</file>